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2F7F" w14:textId="77777777" w:rsidR="0040271F" w:rsidRDefault="00000000">
      <w:pPr>
        <w:spacing w:after="60"/>
        <w:jc w:val="center"/>
      </w:pPr>
      <w:r>
        <w:rPr>
          <w:b/>
          <w:bCs/>
          <w:sz w:val="36"/>
          <w:szCs w:val="36"/>
        </w:rPr>
        <w:t>Liste de révision – Examen final</w:t>
      </w:r>
    </w:p>
    <w:p w14:paraId="7BA72F80" w14:textId="77777777" w:rsidR="0040271F" w:rsidRDefault="00000000">
      <w:pPr>
        <w:pBdr>
          <w:bottom w:val="single" w:sz="6" w:space="6" w:color="2E75B6"/>
        </w:pBdr>
        <w:spacing w:after="240"/>
        <w:jc w:val="center"/>
      </w:pPr>
      <w:r>
        <w:rPr>
          <w:color w:val="444444"/>
          <w:sz w:val="26"/>
          <w:szCs w:val="26"/>
        </w:rPr>
        <w:t>SNC2D – Sciences, 10e année – Juin 2026</w:t>
      </w:r>
    </w:p>
    <w:p w14:paraId="7BA72F81" w14:textId="77777777" w:rsidR="0040271F" w:rsidRDefault="00000000">
      <w:pPr>
        <w:spacing w:after="240"/>
      </w:pPr>
      <w:r>
        <w:rPr>
          <w:i/>
          <w:iCs/>
        </w:rPr>
        <w:t>Comment utiliser cette liste : pour chaque énoncé, coche la case ☐ lorsque tu te sens capable de l’expliquer ou de le faire sans tes notes. Les cases non cochées t’indiquent où concentrer ta révision.</w:t>
      </w:r>
    </w:p>
    <w:p w14:paraId="7BA72F82" w14:textId="77777777" w:rsidR="0040271F" w:rsidRDefault="00000000">
      <w:pPr>
        <w:pStyle w:val="Heading1"/>
      </w:pPr>
      <w:r>
        <w:t>Sécurité et méthode scientifique</w:t>
      </w:r>
    </w:p>
    <w:p w14:paraId="7BA72F83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Reconnaître les symboles du SIMDUT et associer chaque symbole à sa catégorie de danger.</w:t>
      </w:r>
    </w:p>
    <w:p w14:paraId="7BA72F84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Identifier les variables indépendante, dépendante et contrôlées d’une expérience.</w:t>
      </w:r>
    </w:p>
    <w:p w14:paraId="7BA72F85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Formuler une question de recherche et une hypothèse (si… alors… parce que…).</w:t>
      </w:r>
    </w:p>
    <w:p w14:paraId="7BA72F86" w14:textId="77777777" w:rsidR="0040271F" w:rsidRDefault="00000000">
      <w:pPr>
        <w:pStyle w:val="Heading1"/>
      </w:pPr>
      <w:r>
        <w:t>Biologie – Les cellules et les systèmes</w:t>
      </w:r>
    </w:p>
    <w:p w14:paraId="7BA72F87" w14:textId="77777777" w:rsidR="0040271F" w:rsidRDefault="00000000">
      <w:pPr>
        <w:spacing w:before="120" w:after="60"/>
      </w:pPr>
      <w:r>
        <w:rPr>
          <w:b/>
          <w:bCs/>
          <w:color w:val="2E75B6"/>
          <w:sz w:val="24"/>
          <w:szCs w:val="24"/>
        </w:rPr>
        <w:t>La cellule et la mitose</w:t>
      </w:r>
    </w:p>
    <w:p w14:paraId="7BA72F88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Placer en ordre les niveaux d’organisation : cellule → tissu → organe → système.</w:t>
      </w:r>
    </w:p>
    <w:p w14:paraId="7BA72F89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Nommer les organites (mitochondrie, chloroplaste, noyau, vacuole…) et leurs fonctions.</w:t>
      </w:r>
    </w:p>
    <w:p w14:paraId="7BA72F8A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Comparer la cellule animale et la cellule végétale (paroi cellulaire, grande vacuole, chloroplastes).</w:t>
      </w:r>
    </w:p>
    <w:p w14:paraId="7BA72F8B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Décrire le cycle cellulaire (interphase, mitose, points de contrôle) et la proportion de temps passée dans chaque phase.</w:t>
      </w:r>
    </w:p>
    <w:p w14:paraId="7BA72F8C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Nommer et reconnaître sur des schémas les 4 phases de la mitose (prophase, métaphase, anaphase, télophase).</w:t>
      </w:r>
    </w:p>
    <w:p w14:paraId="7BA72F8D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Utiliser le vocabulaire de la division cellulaire : centromère, chromatide, centriole, fibres fusoriales.</w:t>
      </w:r>
    </w:p>
    <w:p w14:paraId="7BA72F8E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Expliquer le rôle des cellules souches et des méristèmes.</w:t>
      </w:r>
    </w:p>
    <w:p w14:paraId="7BA72F8F" w14:textId="77777777" w:rsidR="0040271F" w:rsidRDefault="00000000">
      <w:pPr>
        <w:spacing w:before="120" w:after="60"/>
      </w:pPr>
      <w:r>
        <w:rPr>
          <w:b/>
          <w:bCs/>
          <w:color w:val="2E75B6"/>
          <w:sz w:val="24"/>
          <w:szCs w:val="24"/>
        </w:rPr>
        <w:t>Tissus, organes et plantes</w:t>
      </w:r>
    </w:p>
    <w:p w14:paraId="7BA72F90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Associer les principaux tissus (animaux et végétaux) à leurs fonctions.</w:t>
      </w:r>
    </w:p>
    <w:p w14:paraId="7BA72F91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Identifier les structures d’une coupe de feuille (épiderme, mésophylle, stomates, nervure…).</w:t>
      </w:r>
    </w:p>
    <w:p w14:paraId="7BA72F92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Expliquer le rôle du xylème et du phloème dans le transport chez les plantes.</w:t>
      </w:r>
    </w:p>
    <w:p w14:paraId="7BA72F93" w14:textId="77777777" w:rsidR="0040271F" w:rsidRDefault="00000000">
      <w:pPr>
        <w:spacing w:before="120" w:after="60"/>
      </w:pPr>
      <w:r>
        <w:rPr>
          <w:b/>
          <w:bCs/>
          <w:color w:val="2E75B6"/>
          <w:sz w:val="24"/>
          <w:szCs w:val="24"/>
        </w:rPr>
        <w:t>Les systèmes du corps humain</w:t>
      </w:r>
    </w:p>
    <w:p w14:paraId="7BA72F94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Tracer le trajet des aliments dans le système digestif et nommer la fonction de chaque organe.</w:t>
      </w:r>
    </w:p>
    <w:p w14:paraId="7BA72F95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Savoir où la digestion est complétée (intestin grêle).</w:t>
      </w:r>
    </w:p>
    <w:p w14:paraId="7BA72F96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Identifier les organes principaux sur des diagrammes du corps humain (5 organes par système).</w:t>
      </w:r>
    </w:p>
    <w:p w14:paraId="7BA72F97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Identifier les structures du système respiratoire (trachée, bronches, bronchioles, alvéoles).</w:t>
      </w:r>
    </w:p>
    <w:p w14:paraId="7BA72F98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Sur un schéma du cœur, distinguer les veines, les artères et les capillaires.</w:t>
      </w:r>
    </w:p>
    <w:p w14:paraId="7BA72F99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Expliquer le lien entre le système respiratoire et le système circulatoire (échanges gazeux).</w:t>
      </w:r>
    </w:p>
    <w:p w14:paraId="7BA72F9A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Expliquer l’effet d’une maladie sur un système (ex. : alvéoles remplies de mucus).</w:t>
      </w:r>
    </w:p>
    <w:p w14:paraId="7BA72F9B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Pour une maladie de ton choix : nommer les systèmes et organes affectés, les tests diagnostiques et le dysfonctionnement cellulaire impliqué.</w:t>
      </w:r>
    </w:p>
    <w:p w14:paraId="7BA72F9C" w14:textId="77777777" w:rsidR="0040271F" w:rsidRDefault="00000000">
      <w:pPr>
        <w:pStyle w:val="Heading1"/>
      </w:pPr>
      <w:r>
        <w:t>Chimie – Atomes et réactions chimiques</w:t>
      </w:r>
    </w:p>
    <w:p w14:paraId="7BA72F9D" w14:textId="77777777" w:rsidR="0040271F" w:rsidRDefault="00000000">
      <w:pPr>
        <w:spacing w:before="120" w:after="60"/>
      </w:pPr>
      <w:r>
        <w:rPr>
          <w:b/>
          <w:bCs/>
          <w:color w:val="2E75B6"/>
          <w:sz w:val="24"/>
          <w:szCs w:val="24"/>
        </w:rPr>
        <w:lastRenderedPageBreak/>
        <w:t>Structure atomique et nomenclature</w:t>
      </w:r>
    </w:p>
    <w:p w14:paraId="7BA72F9E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Connaître les 20 premiers éléments du tableau périodique (nom, symbole).</w:t>
      </w:r>
    </w:p>
    <w:p w14:paraId="7BA72F9F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Décrire la structure de l’atome (protons, neutrons, électrons, couches électroniques).</w:t>
      </w:r>
    </w:p>
    <w:p w14:paraId="7BA72FA0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Nommer les composés moléculaires avec les préfixes (mono-, di-, tri-…), ex. : SeCl₂, NO.</w:t>
      </w:r>
    </w:p>
    <w:p w14:paraId="7BA72FA1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Passer de l’équation nominative à l’équation chimique et vice-versa.</w:t>
      </w:r>
    </w:p>
    <w:p w14:paraId="7BA72FA2" w14:textId="77777777" w:rsidR="0040271F" w:rsidRDefault="00000000">
      <w:pPr>
        <w:spacing w:before="120" w:after="60"/>
      </w:pPr>
      <w:r>
        <w:rPr>
          <w:b/>
          <w:bCs/>
          <w:color w:val="2E75B6"/>
          <w:sz w:val="24"/>
          <w:szCs w:val="24"/>
        </w:rPr>
        <w:t>Les réactions chimiques</w:t>
      </w:r>
    </w:p>
    <w:p w14:paraId="7BA72FA3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Reconnaître les 4 types de réactions : synthèse, décomposition, déplacement simple, déplacement double.</w:t>
      </w:r>
    </w:p>
    <w:p w14:paraId="7BA72FA4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Équilibrer des équations chimiques.</w:t>
      </w:r>
    </w:p>
    <w:p w14:paraId="7BA72FA5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Reconnaître une réaction de précipitation (ex. : nitrate de plomb (II) + iodure de potassium).</w:t>
      </w:r>
    </w:p>
    <w:p w14:paraId="7BA72FA6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Distinguer les acides et les bases (propriétés, pH, indicateurs).</w:t>
      </w:r>
    </w:p>
    <w:p w14:paraId="7BA72FA7" w14:textId="77777777" w:rsidR="0040271F" w:rsidRDefault="00000000">
      <w:pPr>
        <w:pStyle w:val="Heading1"/>
      </w:pPr>
      <w:r>
        <w:t>Optique – La lumière</w:t>
      </w:r>
    </w:p>
    <w:p w14:paraId="7BA72FA8" w14:textId="77777777" w:rsidR="0040271F" w:rsidRDefault="00000000">
      <w:pPr>
        <w:spacing w:before="120" w:after="60"/>
      </w:pPr>
      <w:r>
        <w:rPr>
          <w:b/>
          <w:bCs/>
          <w:color w:val="2E75B6"/>
          <w:sz w:val="24"/>
          <w:szCs w:val="24"/>
        </w:rPr>
        <w:t>Réflexion et réfraction</w:t>
      </w:r>
    </w:p>
    <w:p w14:paraId="7BA72FA9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Énoncer la loi de la réflexion (angle d’incidence = angle de réflexion).</w:t>
      </w:r>
    </w:p>
    <w:p w14:paraId="7BA72FAA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Identifier sur un schéma : rayon incident, rayon réfracté/réfléchi, normale, interface.</w:t>
      </w:r>
    </w:p>
    <w:p w14:paraId="7BA72FAB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Prédire si un rayon se rapproche ou s’éloigne de la normale selon les milieux (rapide/lent).</w:t>
      </w:r>
    </w:p>
    <w:p w14:paraId="7BA72FAC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Expliquer la réflexion totale interne et le rôle de l’angle critique.</w:t>
      </w:r>
    </w:p>
    <w:p w14:paraId="7BA72FAD" w14:textId="77777777" w:rsidR="0040271F" w:rsidRDefault="00000000">
      <w:pPr>
        <w:spacing w:before="120" w:after="60"/>
      </w:pPr>
      <w:r>
        <w:rPr>
          <w:b/>
          <w:bCs/>
          <w:color w:val="2E75B6"/>
          <w:sz w:val="24"/>
          <w:szCs w:val="24"/>
        </w:rPr>
        <w:t>Miroirs et images</w:t>
      </w:r>
    </w:p>
    <w:p w14:paraId="7BA72FAE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Tracer un diagramme de rayons (2 rayons minimum) pour localiser une image.</w:t>
      </w:r>
    </w:p>
    <w:p w14:paraId="7BA72FAF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Déterminer qui peut voir une image dans un miroir plan à l’aide d’un diagramme de rayons.</w:t>
      </w:r>
    </w:p>
    <w:p w14:paraId="7BA72FB0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Décrire les caractéristiques d’une image : taille, orientation, position, type (réelle/virtuelle).</w:t>
      </w:r>
    </w:p>
    <w:p w14:paraId="7BA72FB1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Calculer la distance de l’image avec 1/f = 1/dₒ + 1/dᵢ (miroirs concaves et convexes).</w:t>
      </w:r>
    </w:p>
    <w:p w14:paraId="7BA72FB2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Calculer la hauteur de l’image avec le grandissement (hᵢ/hₒ = −dᵢ/dₒ).</w:t>
      </w:r>
    </w:p>
    <w:p w14:paraId="7BA72FB3" w14:textId="77777777" w:rsidR="0040271F" w:rsidRDefault="00000000">
      <w:pPr>
        <w:pStyle w:val="Heading1"/>
      </w:pPr>
      <w:r>
        <w:t>Changements climatiques</w:t>
      </w:r>
    </w:p>
    <w:p w14:paraId="7BA72FB4" w14:textId="77777777" w:rsidR="0040271F" w:rsidRDefault="00000000">
      <w:pPr>
        <w:spacing w:before="120" w:after="60"/>
      </w:pPr>
      <w:r>
        <w:rPr>
          <w:b/>
          <w:bCs/>
          <w:color w:val="2E75B6"/>
          <w:sz w:val="24"/>
          <w:szCs w:val="24"/>
        </w:rPr>
        <w:t>L’effet de serre et les GES</w:t>
      </w:r>
    </w:p>
    <w:p w14:paraId="7BA72FB5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Décrire le spectre électromagnétique : le Soleil émet surtout de la lumière visible et de l’ultraviolet; la Terre réémet de l’infrarouge.</w:t>
      </w:r>
    </w:p>
    <w:p w14:paraId="7BA72FB6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Expliquer l’effet de serre naturel : radiation solaire absorbée par la surface, réémission en infrarouge, chaleur piégée par les GES.</w:t>
      </w:r>
    </w:p>
    <w:p w14:paraId="7BA72FB7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Savoir que sans effet de serre, la Terre serait à −18 °C au lieu de +15 °C (l’effet de serre naturel est essentiel).</w:t>
      </w:r>
    </w:p>
    <w:p w14:paraId="7BA72FB8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Connaître les principaux GES (CO₂, CH₄, H₂O, N₂O) : formules, sources naturelles et sources humaines.</w:t>
      </w:r>
    </w:p>
    <w:p w14:paraId="7BA72FB9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Distinguer l’effet de serre naturel de l’effet de serre amplifié par les activités humaines (combustion de combustibles fossiles, déforestation, agriculture industrielle).</w:t>
      </w:r>
    </w:p>
    <w:p w14:paraId="7BA72FBA" w14:textId="77777777" w:rsidR="0040271F" w:rsidRDefault="00000000">
      <w:pPr>
        <w:spacing w:before="120" w:after="60"/>
      </w:pPr>
      <w:r>
        <w:rPr>
          <w:b/>
          <w:bCs/>
          <w:color w:val="2E75B6"/>
          <w:sz w:val="24"/>
          <w:szCs w:val="24"/>
        </w:rPr>
        <w:t>Bilan énergétique et rétroactions</w:t>
      </w:r>
    </w:p>
    <w:p w14:paraId="7BA72FBB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Décrire le bilan énergétique de la Terre : énergie réfléchie (albédo, ~30 %), absorbée par l’atmosphère et par la surface.</w:t>
      </w:r>
    </w:p>
    <w:p w14:paraId="7BA72FBC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Expliquer l’équilibre énergétique (radiatif) : énergie absorbée = énergie émise.</w:t>
      </w:r>
    </w:p>
    <w:p w14:paraId="7BA72FBD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lastRenderedPageBreak/>
        <w:t>Définir le forçage radiatif positif (réchauffement) et négatif (refroidissement); ex. : doubler le CO₂ → +3,7 W/m².</w:t>
      </w:r>
    </w:p>
    <w:p w14:paraId="7BA72FBE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Expliquer une rétroaction positive (albédo-glace) et une rétroaction négative (vapeur d’eau-nuages).</w:t>
      </w:r>
    </w:p>
    <w:p w14:paraId="7BA72FBF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Faire le lien entre l’expérience de la mini-serre et l’atmosphère (pellicule = GES, plateau = équilibre énergétique) et reconnaître les limites de ce modèle.</w:t>
      </w:r>
    </w:p>
    <w:p w14:paraId="7BA72FC0" w14:textId="77777777" w:rsidR="0040271F" w:rsidRDefault="00000000">
      <w:pPr>
        <w:spacing w:before="120" w:after="60"/>
      </w:pPr>
      <w:r>
        <w:rPr>
          <w:b/>
          <w:bCs/>
          <w:color w:val="2E75B6"/>
          <w:sz w:val="24"/>
          <w:szCs w:val="24"/>
        </w:rPr>
        <w:t>Climat local, sols et carbone</w:t>
      </w:r>
    </w:p>
    <w:p w14:paraId="7BA72FC1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Expliquer comment l’aménagement (asphalte, arbres, bâtiments) influence la température locale (zones chaudes/fraîches, ombre, végétation).</w:t>
      </w:r>
    </w:p>
    <w:p w14:paraId="7BA72FC2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Comparer différents types de surfaces et de sols : humidité, température, présence de végétation.</w:t>
      </w:r>
    </w:p>
    <w:p w14:paraId="7BA72FC3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Expliquer comment les sols agissent comme puits de carbone et leur rôle dans le cycle du carbone.</w:t>
      </w:r>
    </w:p>
    <w:p w14:paraId="7BA72FC4" w14:textId="25DFDD48" w:rsidR="0040271F" w:rsidRDefault="00000000">
      <w:pPr>
        <w:pStyle w:val="ListParagraph"/>
        <w:numPr>
          <w:ilvl w:val="0"/>
          <w:numId w:val="2"/>
        </w:numPr>
        <w:spacing w:after="40"/>
      </w:pPr>
      <w:r>
        <w:t>Expliquer le rôle de la biodiversité et de la santé des sols dans la résilience face aux changements climatiques.</w:t>
      </w:r>
    </w:p>
    <w:p w14:paraId="7BA72FC6" w14:textId="77777777" w:rsidR="0040271F" w:rsidRDefault="00000000">
      <w:pPr>
        <w:pStyle w:val="Heading1"/>
      </w:pPr>
      <w:r>
        <w:t>Types de questions à prévoir</w:t>
      </w:r>
    </w:p>
    <w:p w14:paraId="7BA72FC7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Choix multiples et vrai ou faux.</w:t>
      </w:r>
    </w:p>
    <w:p w14:paraId="7BA72FC8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Associations (tissus et fonctions, symboles SIMDUT…).</w:t>
      </w:r>
    </w:p>
    <w:p w14:paraId="7BA72FC9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Textes à trous (mots fournis dans un encadré).</w:t>
      </w:r>
    </w:p>
    <w:p w14:paraId="7BA72FCA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Identification de structures sur des schémas (organes, feuille, cœur, mitose).</w:t>
      </w:r>
    </w:p>
    <w:p w14:paraId="7BA72FCB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Courtes réponses : équilibrage d’équations, calculs de miroirs, diagrammes de rayons.</w:t>
      </w:r>
    </w:p>
    <w:p w14:paraId="7BA72FCC" w14:textId="77777777" w:rsidR="0040271F" w:rsidRDefault="00000000">
      <w:pPr>
        <w:pStyle w:val="ListParagraph"/>
        <w:numPr>
          <w:ilvl w:val="0"/>
          <w:numId w:val="2"/>
        </w:numPr>
        <w:spacing w:after="40"/>
      </w:pPr>
      <w:r>
        <w:t>Réponse développée en phrases complètes avec le vocabulaire à l’étude.</w:t>
      </w:r>
    </w:p>
    <w:sectPr w:rsidR="0040271F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47AF1"/>
    <w:multiLevelType w:val="hybridMultilevel"/>
    <w:tmpl w:val="AAB0BFC0"/>
    <w:lvl w:ilvl="0" w:tplc="BBC03298">
      <w:start w:val="1"/>
      <w:numFmt w:val="bullet"/>
      <w:lvlText w:val="☐"/>
      <w:lvlJc w:val="left"/>
      <w:pPr>
        <w:ind w:left="480" w:hanging="360"/>
      </w:pPr>
    </w:lvl>
    <w:lvl w:ilvl="1" w:tplc="65BC6B24">
      <w:numFmt w:val="decimal"/>
      <w:lvlText w:val=""/>
      <w:lvlJc w:val="left"/>
    </w:lvl>
    <w:lvl w:ilvl="2" w:tplc="C9C2CDA2">
      <w:numFmt w:val="decimal"/>
      <w:lvlText w:val=""/>
      <w:lvlJc w:val="left"/>
    </w:lvl>
    <w:lvl w:ilvl="3" w:tplc="389C1AD2">
      <w:numFmt w:val="decimal"/>
      <w:lvlText w:val=""/>
      <w:lvlJc w:val="left"/>
    </w:lvl>
    <w:lvl w:ilvl="4" w:tplc="37C870B8">
      <w:numFmt w:val="decimal"/>
      <w:lvlText w:val=""/>
      <w:lvlJc w:val="left"/>
    </w:lvl>
    <w:lvl w:ilvl="5" w:tplc="C68A3DC6">
      <w:numFmt w:val="decimal"/>
      <w:lvlText w:val=""/>
      <w:lvlJc w:val="left"/>
    </w:lvl>
    <w:lvl w:ilvl="6" w:tplc="567429E8">
      <w:numFmt w:val="decimal"/>
      <w:lvlText w:val=""/>
      <w:lvlJc w:val="left"/>
    </w:lvl>
    <w:lvl w:ilvl="7" w:tplc="338A812A">
      <w:numFmt w:val="decimal"/>
      <w:lvlText w:val=""/>
      <w:lvlJc w:val="left"/>
    </w:lvl>
    <w:lvl w:ilvl="8" w:tplc="8A508F18">
      <w:numFmt w:val="decimal"/>
      <w:lvlText w:val=""/>
      <w:lvlJc w:val="left"/>
    </w:lvl>
  </w:abstractNum>
  <w:abstractNum w:abstractNumId="1" w15:restartNumberingAfterBreak="0">
    <w:nsid w:val="57D54A1A"/>
    <w:multiLevelType w:val="hybridMultilevel"/>
    <w:tmpl w:val="F496C60C"/>
    <w:lvl w:ilvl="0" w:tplc="37343E90">
      <w:start w:val="1"/>
      <w:numFmt w:val="bullet"/>
      <w:lvlText w:val="●"/>
      <w:lvlJc w:val="left"/>
      <w:pPr>
        <w:ind w:left="720" w:hanging="360"/>
      </w:pPr>
    </w:lvl>
    <w:lvl w:ilvl="1" w:tplc="75103FFE">
      <w:start w:val="1"/>
      <w:numFmt w:val="bullet"/>
      <w:lvlText w:val="○"/>
      <w:lvlJc w:val="left"/>
      <w:pPr>
        <w:ind w:left="1440" w:hanging="360"/>
      </w:pPr>
    </w:lvl>
    <w:lvl w:ilvl="2" w:tplc="83DE8388">
      <w:start w:val="1"/>
      <w:numFmt w:val="bullet"/>
      <w:lvlText w:val="■"/>
      <w:lvlJc w:val="left"/>
      <w:pPr>
        <w:ind w:left="2160" w:hanging="360"/>
      </w:pPr>
    </w:lvl>
    <w:lvl w:ilvl="3" w:tplc="5C80FB5C">
      <w:start w:val="1"/>
      <w:numFmt w:val="bullet"/>
      <w:lvlText w:val="●"/>
      <w:lvlJc w:val="left"/>
      <w:pPr>
        <w:ind w:left="2880" w:hanging="360"/>
      </w:pPr>
    </w:lvl>
    <w:lvl w:ilvl="4" w:tplc="8BD874B4">
      <w:start w:val="1"/>
      <w:numFmt w:val="bullet"/>
      <w:lvlText w:val="○"/>
      <w:lvlJc w:val="left"/>
      <w:pPr>
        <w:ind w:left="3600" w:hanging="360"/>
      </w:pPr>
    </w:lvl>
    <w:lvl w:ilvl="5" w:tplc="866EA66C">
      <w:start w:val="1"/>
      <w:numFmt w:val="bullet"/>
      <w:lvlText w:val="■"/>
      <w:lvlJc w:val="left"/>
      <w:pPr>
        <w:ind w:left="4320" w:hanging="360"/>
      </w:pPr>
    </w:lvl>
    <w:lvl w:ilvl="6" w:tplc="F992E9A8">
      <w:start w:val="1"/>
      <w:numFmt w:val="bullet"/>
      <w:lvlText w:val="●"/>
      <w:lvlJc w:val="left"/>
      <w:pPr>
        <w:ind w:left="5040" w:hanging="360"/>
      </w:pPr>
    </w:lvl>
    <w:lvl w:ilvl="7" w:tplc="4FF4CCDC">
      <w:start w:val="1"/>
      <w:numFmt w:val="bullet"/>
      <w:lvlText w:val="●"/>
      <w:lvlJc w:val="left"/>
      <w:pPr>
        <w:ind w:left="5760" w:hanging="360"/>
      </w:pPr>
    </w:lvl>
    <w:lvl w:ilvl="8" w:tplc="B6D4901A">
      <w:start w:val="1"/>
      <w:numFmt w:val="bullet"/>
      <w:lvlText w:val="●"/>
      <w:lvlJc w:val="left"/>
      <w:pPr>
        <w:ind w:left="6480" w:hanging="360"/>
      </w:pPr>
    </w:lvl>
  </w:abstractNum>
  <w:num w:numId="1" w16cid:durableId="567307041">
    <w:abstractNumId w:val="1"/>
    <w:lvlOverride w:ilvl="0">
      <w:startOverride w:val="1"/>
    </w:lvlOverride>
  </w:num>
  <w:num w:numId="2" w16cid:durableId="9325863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71F"/>
    <w:rsid w:val="0040271F"/>
    <w:rsid w:val="00757954"/>
    <w:rsid w:val="00D5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72F7F"/>
  <w15:docId w15:val="{9C513C74-0D20-452D-9CFC-65D17E6F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2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930</Words>
  <Characters>5117</Characters>
  <Application>Microsoft Office Word</Application>
  <DocSecurity>0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Dupont-Mattar, Fabien</cp:lastModifiedBy>
  <cp:revision>2</cp:revision>
  <dcterms:created xsi:type="dcterms:W3CDTF">2026-06-08T03:22:00Z</dcterms:created>
  <dcterms:modified xsi:type="dcterms:W3CDTF">2026-06-11T11:15:00Z</dcterms:modified>
</cp:coreProperties>
</file>