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36"/>
          <w:szCs w:val="36"/>
        </w:rPr>
        <w:t xml:space="preserve">Liste de révision – Examen final</w:t>
      </w:r>
    </w:p>
    <w:p>
      <w:pPr>
        <w:pBdr>
          <w:bottom w:val="single" w:color="2E75B6" w:sz="6" w:space="6"/>
        </w:pBdr>
        <w:spacing w:after="240"/>
        <w:jc w:val="center"/>
      </w:pPr>
      <w:r>
        <w:rPr>
          <w:color w:val="444444"/>
          <w:sz w:val="26"/>
          <w:szCs w:val="26"/>
        </w:rPr>
        <w:t xml:space="preserve">SBI4U – Biologie, 12e année pré-universitaire – Juin 2026</w:t>
      </w:r>
    </w:p>
    <w:p>
      <w:pPr>
        <w:spacing w:after="240"/>
      </w:pPr>
      <w:r>
        <w:rPr>
          <w:i/>
          <w:iCs/>
          <w:sz w:val="22"/>
          <w:szCs w:val="22"/>
        </w:rPr>
        <w:t xml:space="preserve">Comment utiliser cette liste : pour chaque énoncé, coche la case ☐ lorsque tu te sens capable de l’expliquer ou de le faire sans tes notes. Les cases non cochées t’indiquent où concentrer ta révision.</w:t>
      </w:r>
    </w:p>
    <w:p>
      <w:pPr>
        <w:pStyle w:val="Heading1"/>
      </w:pPr>
      <w:r>
        <w:t xml:space="preserve">Unité 1 – Biochimie cellulaire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Concepts fondamentaux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Caractéristiques déterminant l’identité d’un atome.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Polarité des composés chimiques et types de liaisons.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Fonctions et localisation des protéines membranaires (canaux et portes).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Fonction des lysosomes.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Processus et effets de l’osmose sur les cellules (milieux hypertonique, hypotonique, isotonique).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Groupements fonctionnels des acides aminés.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Mécanismes d’action des activateurs et inhibiteurs allostériques.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modèle de la mosaïque fluide de la membrane cellulaire.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Structure tertiaire des protéines.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Principes du transport passif (diffusion, diffusion facilitée, osmose) : gradient de concentration, absence d’énergie.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Tableaux et explications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macromolécules biologiques (glucides, lipides, protéines, acides nucléiques) : structure, fonction et exemples.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Types de réactions biochimiques : neutralisation, oxydoréduction, condensation et hydrolyse.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Mécanisme d’action des enzymes (site actif, complexe enzyme-substrat, spécificité).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Comparaison entre diffusion facilitée et transport actif.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Endocytose et exocytose.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Relation entre la fonction cellulaire et l’abondance d’organites spécifiques (ex. : mitochondries, lysosomes).</w:t>
      </w:r>
    </w:p>
    <w:p>
      <w:pPr>
        <w:pStyle w:val="Heading1"/>
      </w:pPr>
      <w:r>
        <w:t xml:space="preserve">Unité 2 – Les processus métaboliques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Concepts fondamentaux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Principes de la thermodynamique et concepts énergétiques (entropie, énergie libre, réactions endothermiques/exothermiques).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La phosphorylation au niveau du substrat.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La fermentation lactique et ses conséquences.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cycle de Krebs et ses intermédiaires.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Rendement théorique en ATP de la respiration aérobie.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Absorption de la lumière et photosystèmes dans la photosynthèse.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Localisation de la phase de synthèse de la photosynthèse.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système de transport d’électrons.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Tableaux et explications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étapes de la respiration cellulaire : localisation et rendement en ATP.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processus de fermentation (alcoolique et lactique) : mécanismes, exemples et rôle de l’oxydation du NADH.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cycle de Calvin : produits intermédiaires (G3P) et leur utilisation.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Structure et compartimentation des mitochondries et des chloroplastes; échange de molécules entre ces organites.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Impact des facteurs environnementaux (température, compétition CO₂/O₂) sur la production de glucose dans le cycle de Calvin.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Comparaison détaillée entre la photosynthèse et la respiration cellulaire.</w:t>
      </w:r>
    </w:p>
    <w:p>
      <w:pPr>
        <w:pStyle w:val="Heading1"/>
      </w:pPr>
      <w:r>
        <w:t xml:space="preserve">Unité 3 – L’homéostasie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Concepts fondamentaux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Réponses du système nerveux sympathique en situation de stress.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La voie neurale impliquée dans les arcs réflexes.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Rôle des systèmes nerveux et endocrinien dans la régulation et la coordination corporelle.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Distinction entre glandes exocrines et endocrines.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Exemples d’hormones antagonistes.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Localisation et fonction des lobes du cortex cérébral.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Composition du filtrat glomérulaire.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Types d’hormones : les stimulines.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Définition et importance de l’arc réflexe.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potentiel de repos membranaire du neurone.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Tableaux et explications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Organisation du système nerveux (central, périphérique, somatique, autonome, sympathique, parasympathique).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Analyse d’une réponse nerveuse rapide face à un stimulus.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Mécanismes de régulation de la glycémie (homéostasie, rôle du pancréas et du foie).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 cycle menstruel : régulation hormonale et événements clés.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Analyse d’études de cas : interprétation de données et formulation d’hypothèses (ex. : hypertension et fonction rénale).</w:t>
      </w:r>
    </w:p>
    <w:p>
      <w:pPr>
        <w:pStyle w:val="Heading1"/>
      </w:pPr>
      <w:r>
        <w:t xml:space="preserve">Unité 4 – La génétique moléculaire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Concepts fondamentaux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Structure et propriétés de l’ARN.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Définition d’une protéine et relation avec la séquence d’acides aminés.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introns et les exons; l’épissage de l’ARNm.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mutations ponctuelles de l’ADN.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caractéristiques du code génétique (redondance, universalité, continuité).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Complémentarité des bases dans l’ADN.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phases de la réplication de l’ADN (initiation, élongation, terminaison) et le rôle des amorces d’ARN.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Les règles de Chargaff et la composition des bases azotées de l’ADN.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La structure d’un nucléotide d’ADN.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L’électrophorèse sur gel pour l’analyse de fragments d’ADN.</w:t>
      </w:r>
    </w:p>
    <w:p>
      <w:pPr>
        <w:spacing w:after="60" w:before="120"/>
      </w:pPr>
      <w:r>
        <w:rPr>
          <w:b/>
          <w:bCs/>
          <w:color w:val="2E75B6"/>
          <w:sz w:val="24"/>
          <w:szCs w:val="24"/>
        </w:rPr>
        <w:t xml:space="preserve">Explications approfondies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Organisation de l’ADN dans le noyau (chromatine, histones).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La nature antiparallèle des brins d’ADN.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Mécanismes de la réplication de l’ADN et de la transcription de l’ARNm.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Transcription et traduction de l’information génétique (brins sens/anti-sens, ARNm, codons, anticodons, acides aminés).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L’importance de la régulation de l’expression génétique pour la santé et le développement humain.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1D7F3F8E2B44E900FE7EFB69173EE" ma:contentTypeVersion="10" ma:contentTypeDescription="Create a new document." ma:contentTypeScope="" ma:versionID="46cea31bd7c3aac24566e7c4cd62ab58">
  <xsd:schema xmlns:xsd="http://www.w3.org/2001/XMLSchema" xmlns:xs="http://www.w3.org/2001/XMLSchema" xmlns:p="http://schemas.microsoft.com/office/2006/metadata/properties" xmlns:ns2="e1f6d654-1ac1-4024-a0d5-7e8bd86e9164" xmlns:ns3="2d8b5f40-8658-4402-88d3-28f0d3ec39b1" targetNamespace="http://schemas.microsoft.com/office/2006/metadata/properties" ma:root="true" ma:fieldsID="1d48fd0e4f8ba0f68cd3d0e5e311dc43" ns2:_="" ns3:_="">
    <xsd:import namespace="e1f6d654-1ac1-4024-a0d5-7e8bd86e9164"/>
    <xsd:import namespace="2d8b5f40-8658-4402-88d3-28f0d3ec3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d654-1ac1-4024-a0d5-7e8bd86e9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b5f40-8658-4402-88d3-28f0d3ec3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d3ced4-db8f-4690-b563-954ea172179c}" ma:internalName="TaxCatchAll" ma:showField="CatchAllData" ma:web="2d8b5f40-8658-4402-88d3-28f0d3ec3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6d654-1ac1-4024-a0d5-7e8bd86e9164">
      <Terms xmlns="http://schemas.microsoft.com/office/infopath/2007/PartnerControls"/>
    </lcf76f155ced4ddcb4097134ff3c332f>
    <TaxCatchAll xmlns="2d8b5f40-8658-4402-88d3-28f0d3ec39b1" xsi:nil="true"/>
  </documentManagement>
</p:properties>
</file>

<file path=customXml/itemProps1.xml><?xml version="1.0" encoding="utf-8"?>
<ds:datastoreItem xmlns:ds="http://schemas.openxmlformats.org/officeDocument/2006/customXml" ds:itemID="{2ECFFF31-5DCE-45DB-BF17-6A550E083561}"/>
</file>

<file path=customXml/itemProps2.xml><?xml version="1.0" encoding="utf-8"?>
<ds:datastoreItem xmlns:ds="http://schemas.openxmlformats.org/officeDocument/2006/customXml" ds:itemID="{20B2414C-7F23-4938-9142-DDD65563A373}"/>
</file>

<file path=customXml/itemProps3.xml><?xml version="1.0" encoding="utf-8"?>
<ds:datastoreItem xmlns:ds="http://schemas.openxmlformats.org/officeDocument/2006/customXml" ds:itemID="{D826C2B9-6557-4A73-9093-3F2DBAD638C1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2026-06-08T03:14:58Z</dcterms:created>
  <dcterms:modified xsi:type="dcterms:W3CDTF">2026-06-08T03:14:58Z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0x010100F881D7F3F8E2B44E900FE7EFB69173EE</vt:lpwstr>
  </property>
</Properties>
</file>