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C9A" w:rsidRDefault="00000000" w14:paraId="5C5AA89B" w14:textId="77777777">
      <w:pPr>
        <w:spacing w:after="60"/>
        <w:jc w:val="center"/>
      </w:pPr>
      <w:r>
        <w:rPr>
          <w:b/>
          <w:bCs/>
          <w:sz w:val="36"/>
          <w:szCs w:val="36"/>
        </w:rPr>
        <w:t>Liste de révision – Examen final</w:t>
      </w:r>
    </w:p>
    <w:p w:rsidR="004F0C9A" w:rsidRDefault="00000000" w14:paraId="5C5AA89C" w14:textId="77777777">
      <w:pPr>
        <w:pBdr>
          <w:bottom w:val="single" w:color="2E75B6" w:sz="6" w:space="6"/>
        </w:pBdr>
        <w:spacing w:after="240"/>
        <w:jc w:val="center"/>
      </w:pPr>
      <w:r>
        <w:rPr>
          <w:color w:val="444444"/>
          <w:sz w:val="26"/>
          <w:szCs w:val="26"/>
        </w:rPr>
        <w:t>SBI3U – Biologie, 11e année – Juin 2026</w:t>
      </w:r>
    </w:p>
    <w:p w:rsidR="004F0C9A" w:rsidRDefault="00000000" w14:paraId="5C5AA89D" w14:textId="77777777">
      <w:pPr>
        <w:spacing w:after="240"/>
      </w:pPr>
      <w:r>
        <w:rPr>
          <w:i/>
          <w:iCs/>
        </w:rPr>
        <w:t>Comment utiliser cette liste : pour chaque énoncé, coche la case ☐ lorsque tu te sens capable de l’expliquer ou de le faire sans tes notes. Les cases non cochées t’indiquent où concentrer ta révision.</w:t>
      </w:r>
    </w:p>
    <w:p w:rsidR="004F0C9A" w:rsidRDefault="00000000" w14:paraId="5C5AA89E" w14:textId="77777777">
      <w:pPr>
        <w:pStyle w:val="Heading1"/>
      </w:pPr>
      <w:r>
        <w:t>Unité 1 – La biodiversité</w:t>
      </w:r>
    </w:p>
    <w:p w:rsidR="004F0C9A" w:rsidRDefault="00000000" w14:paraId="5C5AA89F" w14:textId="77777777">
      <w:pPr>
        <w:spacing w:after="80"/>
      </w:pPr>
      <w:r>
        <w:rPr>
          <w:i/>
          <w:iCs/>
          <w:color w:val="555555"/>
        </w:rPr>
        <w:t>La variété de la vie, sa classification et les caractéristiques des règnes du vivant.</w:t>
      </w:r>
    </w:p>
    <w:p w:rsidR="004F0C9A" w:rsidRDefault="00000000" w14:paraId="5C5AA8A0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Concepts de base</w:t>
      </w:r>
    </w:p>
    <w:p w:rsidR="004F0C9A" w:rsidRDefault="00000000" w14:paraId="5C5AA8A1" w14:textId="77777777">
      <w:pPr>
        <w:pStyle w:val="ListParagraph"/>
        <w:numPr>
          <w:ilvl w:val="0"/>
          <w:numId w:val="2"/>
        </w:numPr>
        <w:spacing w:after="40"/>
      </w:pPr>
      <w:r>
        <w:t>Comprendre les niveaux de biodiversité : diversité structurale, diversité des espèces et diversité génétique.</w:t>
      </w:r>
    </w:p>
    <w:p w:rsidR="004F0C9A" w:rsidRDefault="00000000" w14:paraId="5C5AA8A2" w14:textId="77777777">
      <w:pPr>
        <w:pStyle w:val="ListParagraph"/>
        <w:numPr>
          <w:ilvl w:val="0"/>
          <w:numId w:val="2"/>
        </w:numPr>
        <w:spacing w:after="40"/>
      </w:pPr>
      <w:r>
        <w:t>Connaître les six règnes et les trois domaines de la vie.</w:t>
      </w:r>
    </w:p>
    <w:p w:rsidR="004F0C9A" w:rsidRDefault="00000000" w14:paraId="5C5AA8A3" w14:textId="77777777">
      <w:pPr>
        <w:pStyle w:val="ListParagraph"/>
        <w:numPr>
          <w:ilvl w:val="0"/>
          <w:numId w:val="2"/>
        </w:numPr>
        <w:spacing w:after="40"/>
      </w:pPr>
      <w:r>
        <w:t>Utiliser correctement la nomenclature binomiale et la hiérarchie des rangs taxonomiques (règne, embranchement, classe…).</w:t>
      </w:r>
    </w:p>
    <w:p w:rsidR="004F0C9A" w:rsidRDefault="00000000" w14:paraId="5C5AA8A4" w14:textId="77777777">
      <w:pPr>
        <w:pStyle w:val="ListParagraph"/>
        <w:numPr>
          <w:ilvl w:val="0"/>
          <w:numId w:val="2"/>
        </w:numPr>
        <w:spacing w:after="40"/>
      </w:pPr>
      <w:r>
        <w:t>Utiliser une clé dichotomique pour identifier des organismes.</w:t>
      </w:r>
    </w:p>
    <w:p w:rsidR="004F0C9A" w:rsidRDefault="00000000" w14:paraId="5C5AA8A5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Grands groupes</w:t>
      </w:r>
    </w:p>
    <w:p w:rsidR="004F0C9A" w:rsidRDefault="00000000" w14:paraId="5C5AA8A6" w14:textId="77777777">
      <w:pPr>
        <w:pStyle w:val="ListParagraph"/>
        <w:numPr>
          <w:ilvl w:val="0"/>
          <w:numId w:val="2"/>
        </w:numPr>
        <w:spacing w:after="40"/>
      </w:pPr>
      <w:r>
        <w:t>Distinguer les cellules procaryotes et eucaryotes.</w:t>
      </w:r>
    </w:p>
    <w:p w:rsidR="004F0C9A" w:rsidRDefault="00000000" w14:paraId="5C5AA8A7" w14:textId="77777777">
      <w:pPr>
        <w:pStyle w:val="ListParagraph"/>
        <w:numPr>
          <w:ilvl w:val="0"/>
          <w:numId w:val="2"/>
        </w:numPr>
        <w:spacing w:after="40"/>
      </w:pPr>
      <w:r>
        <w:t>Connaître les caractéristiques des virus (cycles lytique et lysogénique), des archéobactéries (ex. : halophiles) et des plantes vasculaires.</w:t>
      </w:r>
    </w:p>
    <w:p w:rsidR="004F0C9A" w:rsidRDefault="00000000" w14:paraId="5C5AA8A8" w14:textId="77777777">
      <w:pPr>
        <w:pStyle w:val="ListParagraph"/>
        <w:numPr>
          <w:ilvl w:val="0"/>
          <w:numId w:val="2"/>
        </w:numPr>
        <w:spacing w:after="40"/>
      </w:pPr>
      <w:r>
        <w:t>Comparer différents groupes d’animaux (ex. : reptiles et oiseaux) et identifier les principaux embranchements du règne animal à partir de schémas.</w:t>
      </w:r>
    </w:p>
    <w:p w:rsidR="004F0C9A" w:rsidRDefault="00000000" w14:paraId="5C5AA8A9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Théories clés</w:t>
      </w:r>
    </w:p>
    <w:p w:rsidR="004F0C9A" w:rsidRDefault="00000000" w14:paraId="5C5AA8AA" w14:textId="77777777">
      <w:pPr>
        <w:pStyle w:val="ListParagraph"/>
        <w:numPr>
          <w:ilvl w:val="0"/>
          <w:numId w:val="2"/>
        </w:numPr>
        <w:spacing w:after="40"/>
      </w:pPr>
      <w:r>
        <w:t>Expliquer la théorie de l’endosymbiose et son rôle dans l’évolution des cellules eucaryotes.</w:t>
      </w:r>
    </w:p>
    <w:p w:rsidR="004F0C9A" w:rsidRDefault="00000000" w14:paraId="5C5AA8AB" w14:textId="77777777">
      <w:pPr>
        <w:pStyle w:val="Heading1"/>
      </w:pPr>
      <w:r>
        <w:t>Unité 2 – La continuité génétique</w:t>
      </w:r>
    </w:p>
    <w:p w:rsidR="004F0C9A" w:rsidRDefault="00000000" w14:paraId="5C5AA8AC" w14:textId="77777777">
      <w:pPr>
        <w:spacing w:after="80"/>
      </w:pPr>
      <w:r>
        <w:rPr>
          <w:i/>
          <w:iCs/>
          <w:color w:val="555555"/>
        </w:rPr>
        <w:t>Les mécanismes de l’hérédité, de la division cellulaire aux modèles de transmission des caractères.</w:t>
      </w:r>
    </w:p>
    <w:p w:rsidR="004F0C9A" w:rsidRDefault="00000000" w14:paraId="5C5AA8AD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Concepts de base</w:t>
      </w:r>
    </w:p>
    <w:p w:rsidR="004F0C9A" w:rsidRDefault="00000000" w14:paraId="5C5AA8AE" w14:textId="77777777">
      <w:pPr>
        <w:pStyle w:val="ListParagraph"/>
        <w:numPr>
          <w:ilvl w:val="0"/>
          <w:numId w:val="2"/>
        </w:numPr>
        <w:spacing w:after="40"/>
      </w:pPr>
      <w:r>
        <w:t>Maîtriser la terminologie génétique : gène, allèle, génotype, phénotype, diploïde, chromosomes homologues.</w:t>
      </w:r>
    </w:p>
    <w:p w:rsidR="004F0C9A" w:rsidRDefault="00000000" w14:paraId="5C5AA8AF" w14:textId="77777777">
      <w:pPr>
        <w:pStyle w:val="ListParagraph"/>
        <w:numPr>
          <w:ilvl w:val="0"/>
          <w:numId w:val="2"/>
        </w:numPr>
        <w:spacing w:after="40"/>
      </w:pPr>
      <w:r>
        <w:t>Comprendre le but et les résultats de la mitose et de la méiose, y compris l’enjambement.</w:t>
      </w:r>
    </w:p>
    <w:p w:rsidR="004F0C9A" w:rsidRDefault="00000000" w14:paraId="5C5AA8B0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Modèles de transmission héréditaire</w:t>
      </w:r>
    </w:p>
    <w:p w:rsidR="004F0C9A" w:rsidRDefault="00000000" w14:paraId="5C5AA8B1" w14:textId="77777777">
      <w:pPr>
        <w:pStyle w:val="ListParagraph"/>
        <w:numPr>
          <w:ilvl w:val="0"/>
          <w:numId w:val="2"/>
        </w:numPr>
        <w:spacing w:after="40"/>
      </w:pPr>
      <w:r>
        <w:t xml:space="preserve">Résoudre des problèmes de génétique avec des échiquiers de Punnett (croisements </w:t>
      </w:r>
      <w:proofErr w:type="spellStart"/>
      <w:r>
        <w:t>monohybrides</w:t>
      </w:r>
      <w:proofErr w:type="spellEnd"/>
      <w:r>
        <w:t xml:space="preserve"> et </w:t>
      </w:r>
      <w:proofErr w:type="spellStart"/>
      <w:r>
        <w:t>dihybrides</w:t>
      </w:r>
      <w:proofErr w:type="spellEnd"/>
      <w:r>
        <w:t>).</w:t>
      </w:r>
    </w:p>
    <w:p w:rsidR="004F0C9A" w:rsidRDefault="00000000" w14:paraId="5C5AA8B2" w14:textId="77777777">
      <w:pPr>
        <w:pStyle w:val="ListParagraph"/>
        <w:numPr>
          <w:ilvl w:val="0"/>
          <w:numId w:val="2"/>
        </w:numPr>
        <w:spacing w:after="40"/>
      </w:pPr>
      <w:r>
        <w:t>Comprendre la dominance, la codominance, la dominance incomplète et les caractères liés au sexe.</w:t>
      </w:r>
    </w:p>
    <w:p w:rsidR="004F0C9A" w:rsidRDefault="00000000" w14:paraId="5C5AA8B3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Génétique humaine</w:t>
      </w:r>
    </w:p>
    <w:p w:rsidR="004F0C9A" w:rsidRDefault="00000000" w14:paraId="5C5AA8B4" w14:textId="77777777">
      <w:pPr>
        <w:pStyle w:val="ListParagraph"/>
        <w:numPr>
          <w:ilvl w:val="0"/>
          <w:numId w:val="2"/>
        </w:numPr>
        <w:spacing w:after="40"/>
      </w:pPr>
      <w:r>
        <w:t>Analyser un caryotype (déterminer le sexe) et un arbre généalogique (génotypes, phénotypes, mode de transmission).</w:t>
      </w:r>
    </w:p>
    <w:p w:rsidR="004F0C9A" w:rsidRDefault="00000000" w14:paraId="5C5AA8B5" w14:textId="77777777">
      <w:pPr>
        <w:pStyle w:val="ListParagraph"/>
        <w:numPr>
          <w:ilvl w:val="0"/>
          <w:numId w:val="2"/>
        </w:numPr>
        <w:spacing w:after="40"/>
      </w:pPr>
      <w:r>
        <w:t>Connaître les types de mutations chromosomiques.</w:t>
      </w:r>
    </w:p>
    <w:p w:rsidR="00632EFE" w:rsidRDefault="00632EFE" w14:paraId="4EF20D6E" w14:textId="77777777">
      <w:pPr>
        <w:pStyle w:val="Heading1"/>
      </w:pPr>
    </w:p>
    <w:p w:rsidR="004F0C9A" w:rsidRDefault="00000000" w14:paraId="5C5AA8B6" w14:textId="2A350448">
      <w:pPr>
        <w:pStyle w:val="Heading1"/>
      </w:pPr>
      <w:r>
        <w:lastRenderedPageBreak/>
        <w:t>Unité 3 – L’évolution</w:t>
      </w:r>
    </w:p>
    <w:p w:rsidR="004F0C9A" w:rsidRDefault="00000000" w14:paraId="5C5AA8B7" w14:textId="77777777">
      <w:pPr>
        <w:spacing w:after="80"/>
      </w:pPr>
      <w:r>
        <w:rPr>
          <w:i/>
          <w:iCs/>
          <w:color w:val="555555"/>
        </w:rPr>
        <w:t>Les processus qui entraînent des changements dans les populations au fil du temps.</w:t>
      </w:r>
    </w:p>
    <w:p w:rsidR="004F0C9A" w:rsidRDefault="00000000" w14:paraId="5C5AA8B8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Concepts de base</w:t>
      </w:r>
    </w:p>
    <w:p w:rsidR="004F0C9A" w:rsidRDefault="00000000" w14:paraId="5C5AA8B9" w14:textId="77777777">
      <w:pPr>
        <w:pStyle w:val="ListParagraph"/>
        <w:numPr>
          <w:ilvl w:val="0"/>
          <w:numId w:val="2"/>
        </w:numPr>
        <w:spacing w:after="40"/>
      </w:pPr>
      <w:r>
        <w:t>Définir l’évolution biologique et la sélection naturelle.</w:t>
      </w:r>
    </w:p>
    <w:p w:rsidR="004F0C9A" w:rsidRDefault="00000000" w14:paraId="5C5AA8BA" w14:textId="77777777">
      <w:pPr>
        <w:pStyle w:val="ListParagraph"/>
        <w:numPr>
          <w:ilvl w:val="0"/>
          <w:numId w:val="2"/>
        </w:numPr>
        <w:spacing w:after="40"/>
      </w:pPr>
      <w:r>
        <w:t>Expliquer le rôle des mutations et de la reproduction sexuée dans la création de la variation génétique.</w:t>
      </w:r>
    </w:p>
    <w:p w:rsidR="004F0C9A" w:rsidRDefault="00000000" w14:paraId="5C5AA8BB" w14:textId="77777777">
      <w:pPr>
        <w:pStyle w:val="ListParagraph"/>
        <w:numPr>
          <w:ilvl w:val="0"/>
          <w:numId w:val="2"/>
        </w:numPr>
        <w:spacing w:after="40"/>
      </w:pPr>
      <w:r>
        <w:t>Comprendre le concept biologique de l’espèce.</w:t>
      </w:r>
    </w:p>
    <w:p w:rsidR="004F0C9A" w:rsidRDefault="00000000" w14:paraId="5C5AA8BC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Théories et preuves</w:t>
      </w:r>
    </w:p>
    <w:p w:rsidR="004F0C9A" w:rsidRDefault="00000000" w14:paraId="5C5AA8BD" w14:textId="77777777">
      <w:pPr>
        <w:pStyle w:val="ListParagraph"/>
        <w:numPr>
          <w:ilvl w:val="0"/>
          <w:numId w:val="2"/>
        </w:numPr>
        <w:spacing w:after="40"/>
      </w:pPr>
      <w:r>
        <w:t>Comparer les théories de l’évolution de Lamarck et de Darwin.</w:t>
      </w:r>
    </w:p>
    <w:p w:rsidR="004F0C9A" w:rsidRDefault="00000000" w14:paraId="5C5AA8BE" w14:textId="77777777">
      <w:pPr>
        <w:pStyle w:val="ListParagraph"/>
        <w:numPr>
          <w:ilvl w:val="0"/>
          <w:numId w:val="2"/>
        </w:numPr>
        <w:spacing w:after="40"/>
      </w:pPr>
      <w:r>
        <w:t>Connaître les preuves de l’évolution : fossiles, biogéographie, anatomie, embryologie, ADN.</w:t>
      </w:r>
    </w:p>
    <w:p w:rsidR="004F0C9A" w:rsidRDefault="00000000" w14:paraId="5C5AA8BF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Adaptation</w:t>
      </w:r>
    </w:p>
    <w:p w:rsidR="004F0C9A" w:rsidRDefault="00000000" w14:paraId="5C5AA8C0" w14:textId="77777777">
      <w:pPr>
        <w:pStyle w:val="ListParagraph"/>
        <w:numPr>
          <w:ilvl w:val="0"/>
          <w:numId w:val="2"/>
        </w:numPr>
        <w:spacing w:after="40"/>
      </w:pPr>
      <w:r>
        <w:t>Donner des exemples d’adaptations structurelles, physiologiques et comportementales.</w:t>
      </w:r>
    </w:p>
    <w:p w:rsidR="004F0C9A" w:rsidRDefault="00000000" w14:paraId="5C5AA8C1" w14:textId="77777777">
      <w:pPr>
        <w:pStyle w:val="ListParagraph"/>
        <w:numPr>
          <w:ilvl w:val="0"/>
          <w:numId w:val="2"/>
        </w:numPr>
        <w:spacing w:after="40"/>
      </w:pPr>
      <w:r>
        <w:t>Comprendre que la sélection naturelle agit sur les populations, pas sur les individus, et ne mène pas à des organismes « parfaits ».</w:t>
      </w:r>
    </w:p>
    <w:p w:rsidR="004F0C9A" w:rsidRDefault="00000000" w14:paraId="5C5AA8C2" w14:textId="77777777">
      <w:pPr>
        <w:pStyle w:val="ListParagraph"/>
        <w:numPr>
          <w:ilvl w:val="0"/>
          <w:numId w:val="2"/>
        </w:numPr>
        <w:spacing w:after="40"/>
      </w:pPr>
      <w:r>
        <w:t>Expliquer des exemples classiques de sélection naturelle (ex. : phalènes du bouleau).</w:t>
      </w:r>
    </w:p>
    <w:p w:rsidR="004F0C9A" w:rsidRDefault="00000000" w14:paraId="5C5AA8C3" w14:textId="77777777">
      <w:pPr>
        <w:pStyle w:val="ListParagraph"/>
        <w:numPr>
          <w:ilvl w:val="0"/>
          <w:numId w:val="2"/>
        </w:numPr>
        <w:spacing w:after="40"/>
      </w:pPr>
      <w:r>
        <w:t>Définir les structures vestigiales et donner un exemple.</w:t>
      </w:r>
    </w:p>
    <w:p w:rsidR="004F0C9A" w:rsidRDefault="00000000" w14:paraId="5C5AA8C4" w14:textId="77777777">
      <w:pPr>
        <w:pStyle w:val="Heading1"/>
      </w:pPr>
      <w:r>
        <w:t>Unité 4 – L’anatomie et les fonctions animales</w:t>
      </w:r>
    </w:p>
    <w:p w:rsidR="004F0C9A" w:rsidRDefault="00000000" w14:paraId="5C5AA8C5" w14:textId="77777777">
      <w:pPr>
        <w:spacing w:after="80"/>
      </w:pPr>
      <w:r>
        <w:rPr>
          <w:i/>
          <w:iCs/>
          <w:color w:val="555555"/>
        </w:rPr>
        <w:t>La structure et la fonction des principaux systèmes d’organes chez les animaux.</w:t>
      </w:r>
    </w:p>
    <w:p w:rsidR="004F0C9A" w:rsidRDefault="00000000" w14:paraId="5C5AA8C6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Système digestif</w:t>
      </w:r>
    </w:p>
    <w:p w:rsidR="004F0C9A" w:rsidRDefault="00000000" w14:paraId="5C5AA8C7" w14:textId="77777777">
      <w:pPr>
        <w:pStyle w:val="ListParagraph"/>
        <w:numPr>
          <w:ilvl w:val="0"/>
          <w:numId w:val="2"/>
        </w:numPr>
        <w:spacing w:after="40"/>
      </w:pPr>
      <w:r>
        <w:t>Tracer le parcours des aliments dans le tube digestif et connaître la fonction de chaque organe (ex. : côlon, intestin grêle).</w:t>
      </w:r>
    </w:p>
    <w:p w:rsidR="004F0C9A" w:rsidRDefault="00000000" w14:paraId="5C5AA8C8" w14:textId="77777777">
      <w:pPr>
        <w:pStyle w:val="ListParagraph"/>
        <w:numPr>
          <w:ilvl w:val="0"/>
          <w:numId w:val="2"/>
        </w:numPr>
        <w:spacing w:after="40"/>
      </w:pPr>
      <w:r>
        <w:t>Comprendre les rôles des organes annexes : foie, pancréas, vésicule biliaire.</w:t>
      </w:r>
    </w:p>
    <w:p w:rsidR="004F0C9A" w:rsidRDefault="00000000" w14:paraId="5C5AA8C9" w14:textId="77777777">
      <w:pPr>
        <w:pStyle w:val="ListParagraph"/>
        <w:numPr>
          <w:ilvl w:val="0"/>
          <w:numId w:val="2"/>
        </w:numPr>
        <w:spacing w:after="40"/>
      </w:pPr>
      <w:r>
        <w:t>Connaître les enzymes de digestion des macromolécules et leurs produits (ex. : lipase).</w:t>
      </w:r>
    </w:p>
    <w:p w:rsidR="004F0C9A" w:rsidRDefault="00000000" w14:paraId="5C5AA8CA" w14:textId="77777777">
      <w:pPr>
        <w:pStyle w:val="ListParagraph"/>
        <w:numPr>
          <w:ilvl w:val="0"/>
          <w:numId w:val="2"/>
        </w:numPr>
        <w:spacing w:after="40"/>
      </w:pPr>
      <w:r>
        <w:t xml:space="preserve">Connaître les troubles courants : maladie de </w:t>
      </w:r>
      <w:proofErr w:type="spellStart"/>
      <w:r>
        <w:t>Crohn</w:t>
      </w:r>
      <w:proofErr w:type="spellEnd"/>
      <w:r>
        <w:t>, diabète, ulcères gastroduodénaux.</w:t>
      </w:r>
    </w:p>
    <w:p w:rsidR="004F0C9A" w:rsidRDefault="00000000" w14:paraId="5C5AA8CB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Système respiratoire</w:t>
      </w:r>
    </w:p>
    <w:p w:rsidR="004F0C9A" w:rsidRDefault="00000000" w14:paraId="5C5AA8CC" w14:textId="77777777">
      <w:pPr>
        <w:pStyle w:val="ListParagraph"/>
        <w:numPr>
          <w:ilvl w:val="0"/>
          <w:numId w:val="2"/>
        </w:numPr>
        <w:spacing w:after="40"/>
      </w:pPr>
      <w:r>
        <w:t>Décrire les mécanismes de la respiration (inspiration).</w:t>
      </w:r>
    </w:p>
    <w:p w:rsidR="004F0C9A" w:rsidRDefault="00000000" w14:paraId="5C5AA8CD" w14:textId="77777777">
      <w:pPr>
        <w:pStyle w:val="ListParagraph"/>
        <w:numPr>
          <w:ilvl w:val="0"/>
          <w:numId w:val="2"/>
        </w:numPr>
        <w:spacing w:after="40"/>
      </w:pPr>
      <w:r>
        <w:t>Identifier les structures et tracer le parcours de l’air de la cavité nasale aux alvéoles.</w:t>
      </w:r>
    </w:p>
    <w:p w:rsidR="004F0C9A" w:rsidRDefault="00000000" w14:paraId="5C5AA8CE" w14:textId="77777777">
      <w:pPr>
        <w:pStyle w:val="ListParagraph"/>
        <w:numPr>
          <w:ilvl w:val="0"/>
          <w:numId w:val="2"/>
        </w:numPr>
        <w:spacing w:after="40"/>
      </w:pPr>
      <w:r>
        <w:t>Expliquer l’anatomie liée à l’expression « la nourriture est passée par le mauvais trou ».</w:t>
      </w:r>
    </w:p>
    <w:p w:rsidR="004F0C9A" w:rsidRDefault="00000000" w14:paraId="5C5AA8CF" w14:textId="77777777">
      <w:pPr>
        <w:spacing w:before="120" w:after="60"/>
      </w:pPr>
      <w:r>
        <w:rPr>
          <w:b/>
          <w:bCs/>
          <w:color w:val="2E75B6"/>
          <w:sz w:val="24"/>
          <w:szCs w:val="24"/>
        </w:rPr>
        <w:t>Système circulatoire</w:t>
      </w:r>
    </w:p>
    <w:p w:rsidR="004F0C9A" w:rsidRDefault="00000000" w14:paraId="5C5AA8D0" w14:textId="77777777">
      <w:pPr>
        <w:pStyle w:val="ListParagraph"/>
        <w:numPr>
          <w:ilvl w:val="0"/>
          <w:numId w:val="2"/>
        </w:numPr>
        <w:spacing w:after="40"/>
      </w:pPr>
      <w:r>
        <w:t>Décrire les fonctions des trois types de vaisseaux sanguins.</w:t>
      </w:r>
    </w:p>
    <w:p w:rsidR="004F0C9A" w:rsidRDefault="00000000" w14:paraId="5C5AA8D1" w14:textId="77777777">
      <w:pPr>
        <w:pStyle w:val="ListParagraph"/>
        <w:numPr>
          <w:ilvl w:val="0"/>
          <w:numId w:val="2"/>
        </w:numPr>
        <w:spacing w:after="40"/>
      </w:pPr>
      <w:r>
        <w:t>Comprendre le cycle cardiaque (systole) et le rôle du nœud sino-auriculaire.</w:t>
      </w:r>
    </w:p>
    <w:p w:rsidR="004F0C9A" w:rsidRDefault="00000000" w14:paraId="5C5AA8D2" w14:textId="77777777">
      <w:pPr>
        <w:pStyle w:val="ListParagraph"/>
        <w:numPr>
          <w:ilvl w:val="0"/>
          <w:numId w:val="2"/>
        </w:numPr>
        <w:spacing w:after="40"/>
      </w:pPr>
      <w:r>
        <w:t>Tracer le parcours du sang oxygéné et désoxygéné dans le cœur.</w:t>
      </w:r>
    </w:p>
    <w:p w:rsidR="004F0C9A" w:rsidRDefault="00000000" w14:paraId="5C5AA8D3" w14:textId="77777777">
      <w:pPr>
        <w:pStyle w:val="Heading1"/>
      </w:pPr>
      <w:r>
        <w:t>Types de questions à prévoir</w:t>
      </w:r>
    </w:p>
    <w:p w:rsidR="004F0C9A" w:rsidRDefault="00000000" w14:paraId="5C5AA8D4" w14:textId="77777777">
      <w:pPr>
        <w:pStyle w:val="ListParagraph"/>
        <w:numPr>
          <w:ilvl w:val="0"/>
          <w:numId w:val="2"/>
        </w:numPr>
        <w:spacing w:after="40"/>
      </w:pPr>
      <w:r>
        <w:t>Choix multiples : sélectionner la meilleure réponse.</w:t>
      </w:r>
    </w:p>
    <w:p w:rsidR="004F0C9A" w:rsidRDefault="00000000" w14:paraId="5C5AA8D5" w14:textId="77777777">
      <w:pPr>
        <w:pStyle w:val="ListParagraph"/>
        <w:numPr>
          <w:ilvl w:val="0"/>
          <w:numId w:val="2"/>
        </w:numPr>
        <w:spacing w:after="40"/>
      </w:pPr>
      <w:r>
        <w:t>Vrai ou faux : corriger les énoncés faux.</w:t>
      </w:r>
    </w:p>
    <w:p w:rsidR="004F0C9A" w:rsidRDefault="00000000" w14:paraId="5C5AA8D6" w14:textId="77777777">
      <w:pPr>
        <w:pStyle w:val="ListParagraph"/>
        <w:numPr>
          <w:ilvl w:val="0"/>
          <w:numId w:val="2"/>
        </w:numPr>
        <w:spacing w:after="40"/>
      </w:pPr>
      <w:r>
        <w:t>Association : associer des termes à leurs descriptions ou schémas.</w:t>
      </w:r>
    </w:p>
    <w:p w:rsidR="004F0C9A" w:rsidRDefault="00000000" w14:paraId="5C5AA8D7" w14:textId="77777777">
      <w:pPr>
        <w:pStyle w:val="ListParagraph"/>
        <w:numPr>
          <w:ilvl w:val="0"/>
          <w:numId w:val="2"/>
        </w:numPr>
        <w:spacing w:after="40"/>
      </w:pPr>
      <w:r>
        <w:t>Résolution de problèmes : échiquiers de Punnett, arbres généalogiques, clé dichotomique.</w:t>
      </w:r>
    </w:p>
    <w:sectPr w:rsidR="004F0C9A">
      <w:pgSz w:w="12240" w:h="15840" w:orient="portrait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012"/>
    <w:multiLevelType w:val="hybridMultilevel"/>
    <w:tmpl w:val="25DA737E"/>
    <w:lvl w:ilvl="0" w:tplc="2FA42304">
      <w:start w:val="1"/>
      <w:numFmt w:val="bullet"/>
      <w:lvlText w:val="●"/>
      <w:lvlJc w:val="left"/>
      <w:pPr>
        <w:ind w:left="720" w:hanging="360"/>
      </w:pPr>
    </w:lvl>
    <w:lvl w:ilvl="1" w:tplc="BB90FF2E">
      <w:start w:val="1"/>
      <w:numFmt w:val="bullet"/>
      <w:lvlText w:val="○"/>
      <w:lvlJc w:val="left"/>
      <w:pPr>
        <w:ind w:left="1440" w:hanging="360"/>
      </w:pPr>
    </w:lvl>
    <w:lvl w:ilvl="2" w:tplc="50BC9C2C">
      <w:start w:val="1"/>
      <w:numFmt w:val="bullet"/>
      <w:lvlText w:val="■"/>
      <w:lvlJc w:val="left"/>
      <w:pPr>
        <w:ind w:left="2160" w:hanging="360"/>
      </w:pPr>
    </w:lvl>
    <w:lvl w:ilvl="3" w:tplc="CEE274EC">
      <w:start w:val="1"/>
      <w:numFmt w:val="bullet"/>
      <w:lvlText w:val="●"/>
      <w:lvlJc w:val="left"/>
      <w:pPr>
        <w:ind w:left="2880" w:hanging="360"/>
      </w:pPr>
    </w:lvl>
    <w:lvl w:ilvl="4" w:tplc="1124F4C0">
      <w:start w:val="1"/>
      <w:numFmt w:val="bullet"/>
      <w:lvlText w:val="○"/>
      <w:lvlJc w:val="left"/>
      <w:pPr>
        <w:ind w:left="3600" w:hanging="360"/>
      </w:pPr>
    </w:lvl>
    <w:lvl w:ilvl="5" w:tplc="F6BE7510">
      <w:start w:val="1"/>
      <w:numFmt w:val="bullet"/>
      <w:lvlText w:val="■"/>
      <w:lvlJc w:val="left"/>
      <w:pPr>
        <w:ind w:left="4320" w:hanging="360"/>
      </w:pPr>
    </w:lvl>
    <w:lvl w:ilvl="6" w:tplc="60749AEC">
      <w:start w:val="1"/>
      <w:numFmt w:val="bullet"/>
      <w:lvlText w:val="●"/>
      <w:lvlJc w:val="left"/>
      <w:pPr>
        <w:ind w:left="5040" w:hanging="360"/>
      </w:pPr>
    </w:lvl>
    <w:lvl w:ilvl="7" w:tplc="DA766E7E">
      <w:start w:val="1"/>
      <w:numFmt w:val="bullet"/>
      <w:lvlText w:val="●"/>
      <w:lvlJc w:val="left"/>
      <w:pPr>
        <w:ind w:left="5760" w:hanging="360"/>
      </w:pPr>
    </w:lvl>
    <w:lvl w:ilvl="8" w:tplc="53E4B4F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9D0F23"/>
    <w:multiLevelType w:val="hybridMultilevel"/>
    <w:tmpl w:val="D5C80DDE"/>
    <w:lvl w:ilvl="0" w:tplc="5C08F6CC">
      <w:start w:val="1"/>
      <w:numFmt w:val="bullet"/>
      <w:lvlText w:val="☐"/>
      <w:lvlJc w:val="left"/>
      <w:pPr>
        <w:ind w:left="480" w:hanging="360"/>
      </w:pPr>
    </w:lvl>
    <w:lvl w:ilvl="1" w:tplc="B5BA3CAC">
      <w:numFmt w:val="decimal"/>
      <w:lvlText w:val=""/>
      <w:lvlJc w:val="left"/>
    </w:lvl>
    <w:lvl w:ilvl="2" w:tplc="04C8AF52">
      <w:numFmt w:val="decimal"/>
      <w:lvlText w:val=""/>
      <w:lvlJc w:val="left"/>
    </w:lvl>
    <w:lvl w:ilvl="3" w:tplc="92565106">
      <w:numFmt w:val="decimal"/>
      <w:lvlText w:val=""/>
      <w:lvlJc w:val="left"/>
    </w:lvl>
    <w:lvl w:ilvl="4" w:tplc="A71660B4">
      <w:numFmt w:val="decimal"/>
      <w:lvlText w:val=""/>
      <w:lvlJc w:val="left"/>
    </w:lvl>
    <w:lvl w:ilvl="5" w:tplc="3820B1D8">
      <w:numFmt w:val="decimal"/>
      <w:lvlText w:val=""/>
      <w:lvlJc w:val="left"/>
    </w:lvl>
    <w:lvl w:ilvl="6" w:tplc="3FD8CD2C">
      <w:numFmt w:val="decimal"/>
      <w:lvlText w:val=""/>
      <w:lvlJc w:val="left"/>
    </w:lvl>
    <w:lvl w:ilvl="7" w:tplc="AEC68552">
      <w:numFmt w:val="decimal"/>
      <w:lvlText w:val=""/>
      <w:lvlJc w:val="left"/>
    </w:lvl>
    <w:lvl w:ilvl="8" w:tplc="0A00252C">
      <w:numFmt w:val="decimal"/>
      <w:lvlText w:val=""/>
      <w:lvlJc w:val="left"/>
    </w:lvl>
  </w:abstractNum>
  <w:num w:numId="1" w16cid:durableId="1597861213">
    <w:abstractNumId w:val="0"/>
    <w:lvlOverride w:ilvl="0">
      <w:startOverride w:val="1"/>
    </w:lvlOverride>
  </w:num>
  <w:num w:numId="2" w16cid:durableId="7187482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9A"/>
    <w:rsid w:val="004F0C9A"/>
    <w:rsid w:val="00632EFE"/>
    <w:rsid w:val="00813B61"/>
    <w:rsid w:val="3F2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A89B"/>
  <w15:docId w15:val="{2B28F620-4014-4B0D-AE69-EA8A0ACD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1D7F3F8E2B44E900FE7EFB69173EE" ma:contentTypeVersion="11" ma:contentTypeDescription="Create a new document." ma:contentTypeScope="" ma:versionID="3e74307e9ef495079649740a59521f5d">
  <xsd:schema xmlns:xsd="http://www.w3.org/2001/XMLSchema" xmlns:xs="http://www.w3.org/2001/XMLSchema" xmlns:p="http://schemas.microsoft.com/office/2006/metadata/properties" xmlns:ns2="e1f6d654-1ac1-4024-a0d5-7e8bd86e9164" xmlns:ns3="2d8b5f40-8658-4402-88d3-28f0d3ec39b1" targetNamespace="http://schemas.microsoft.com/office/2006/metadata/properties" ma:root="true" ma:fieldsID="dbb96b2345e1941bc6938a7745e04054" ns2:_="" ns3:_="">
    <xsd:import namespace="e1f6d654-1ac1-4024-a0d5-7e8bd86e9164"/>
    <xsd:import namespace="2d8b5f40-8658-4402-88d3-28f0d3ec3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d654-1ac1-4024-a0d5-7e8bd86e9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b5f40-8658-4402-88d3-28f0d3ec3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4b5db5-65b8-4357-bca2-450e01872866}" ma:internalName="TaxCatchAll" ma:showField="CatchAllData" ma:web="2d8b5f40-8658-4402-88d3-28f0d3ec3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6d654-1ac1-4024-a0d5-7e8bd86e9164">
      <Terms xmlns="http://schemas.microsoft.com/office/infopath/2007/PartnerControls"/>
    </lcf76f155ced4ddcb4097134ff3c332f>
    <TaxCatchAll xmlns="2d8b5f40-8658-4402-88d3-28f0d3ec39b1" xsi:nil="true"/>
  </documentManagement>
</p:properties>
</file>

<file path=customXml/itemProps1.xml><?xml version="1.0" encoding="utf-8"?>
<ds:datastoreItem xmlns:ds="http://schemas.openxmlformats.org/officeDocument/2006/customXml" ds:itemID="{F5D62388-C895-46D1-9A36-859A74DF7D78}"/>
</file>

<file path=customXml/itemProps2.xml><?xml version="1.0" encoding="utf-8"?>
<ds:datastoreItem xmlns:ds="http://schemas.openxmlformats.org/officeDocument/2006/customXml" ds:itemID="{765E1CCE-9F14-4758-96DB-B09BD2160C34}"/>
</file>

<file path=customXml/itemProps3.xml><?xml version="1.0" encoding="utf-8"?>
<ds:datastoreItem xmlns:ds="http://schemas.openxmlformats.org/officeDocument/2006/customXml" ds:itemID="{97A9418B-FAD0-4C95-8896-EC0BA79AA5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Palacios, Santiago</cp:lastModifiedBy>
  <cp:revision>3</cp:revision>
  <dcterms:created xsi:type="dcterms:W3CDTF">2026-06-08T03:14:00Z</dcterms:created>
  <dcterms:modified xsi:type="dcterms:W3CDTF">2026-06-11T15:40:43Z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0x010100F881D7F3F8E2B44E900FE7EFB69173EE</vt:lpwstr>
  </property>
  <property fmtid="{D5CDD505-2E9C-101B-9397-08002B2CF9AE}" pid="3" name="MediaServiceImageTags">
    <vt:lpwstr/>
  </property>
</Properties>
</file>